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193</w:t>
      </w:r>
    </w:p>
    <w:p>
      <w:r>
        <w:t>Bundesgericht (BGE), 1993-08-30, DE</w:t>
      </w:r>
    </w:p>
    <w:p>
      <w:r>
        <w:rPr>
          <w:b/>
        </w:rPr>
        <w:t xml:space="preserve">Quelle: </w:t>
      </w:r>
      <w:r>
        <w:t>https://mcp.opencaselaw.ch/entscheid/bge_119 IV 193</w:t>
      </w:r>
    </w:p>
    <w:p>
      <w:r>
        <w:t>FR: ATF 119 IV 193</w:t>
      </w:r>
    </w:p>
    <w:p>
      <w:r>
        <w:t>IT: DTF 119 IV 193</w:t>
      </w:r>
    </w:p>
    <w:p>
      <w:pPr>
        <w:pStyle w:val="Heading2"/>
      </w:pPr>
      <w:r>
        <w:t>Regeste</w:t>
      </w:r>
    </w:p>
    <w:p>
      <w:r>
        <w:t>Regeste Art. 18 Abs. 2 StGB; Vorsatz; mitgewollter strafbarer Erfolg. Vorsatz ist auch dann gegeben, wenn der Täter den deliktischen Erfolg, mag ihm dieser gleichgültig oder sogar unerwünscht sein, als notwendige Folge oder als Mittel zur Erreichung des verfolgten Zwecks in seinen Entschluss miteinbezogen hat (Klarstellung der Rechtsprechung).</w:t>
      </w:r>
    </w:p>
    <w:p>
      <w:pPr>
        <w:pStyle w:val="Heading2"/>
      </w:pPr>
      <w:r>
        <w:t>Erwägungen</w:t>
      </w:r>
    </w:p>
    <w:p>
      <w:r>
        <w:rPr>
          <w:b/>
        </w:rPr>
        <w:t>E. 2</w:t>
      </w:r>
    </w:p>
    <w:p>
      <w:r>
        <w:t>a) Gemäss Art. 112 Abs. 1 UVG wird bestraft, wer sich durch unwahre oder unvollständige Angaben oder in anderer Weise der Versicherungs- oder der Prämienpflicht ganz oder teilweise entzieht. Nach den verbindlichen tatsächlichen Feststellungen der Vorinstanz ( Art. 277bis Abs. 1 BStP ) vermittelte der Beschwerdeführer ausländische Arbeitnehmer und rechnete mit ihnen lohnmässig ab. Er führte sie aber nicht auf den Lohnlisten auf und rechnete weder Unfallversicherungsprämien ab, noch überwies er solche der SUVA. Er unterliess die Abrechnung, weil er befürchtete, die Behörden könnten bemerken, dass die Ausländer nicht über die erforderliche Arbeitsbewilligung verfügten. b) Was der Beschwerdeführer gegen seine Verurteilung vorbringt, ist unbehelflich. cc) Vorsatz ist auch dann gegeben, wenn der Täter den deliktischen Erfolg, mag ihm dieser gleichgültig oder sogar unerwünscht sein, als notwendige Folge oder als Mittel zur Erreichung des verfolgten Zwecks in seinen Entschluss miteinbezogen hat. Der deliktische Erfolg braucht nicht das vom Täter erstrebte Ziel zu sein; es genügt, dass er mitgewollt ist ( BGE 98 IV 65 E. 4 mit Hinweisen; REHBERG, Strafrecht I, 5. Aufl., S. 68; TRECHSEL, Schweizerisches Strafgesetzbuch, Kurzkommentar, Art. 18 N 12 ; STRATENWERTH, Schweizerisches Strafrecht, Allg. Teil I, § 9 N 84 ). Der Vorsatz in bezug auf die Widerhandlung gegen das UVG ist hier somit auch dann zu bejahen, wenn es dem Beschwerdeführer nur darum ging, dem Bundesgesetz über Aufenthalt und Niederlassung der Ausländer (ANAG; SR 142.20) zuwiderzuhandeln. Denn der Verstoss gegen das UVG war aus seiner Sicht die notwendige Voraussetzung zur Erreichung dieses Ziels.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